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Indirizzi, previa determinazione dei costi e individuazione dei mezzi, per l'esercizio delle funzioni conferite dalla Provincia, dalla Regione e dallo Stato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consiste nell' approvazione degli indirizzi, previa determinazione dei costi e individuazione dei mezzi, per l'esercizio delle funzioni conferite dalla Provincia, dalla Regione e dallo Stato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267/2000 -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82/2005 - L. 190/2012 -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D.Lgs.n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. 33/2013 - DPR n. 62/2013 - Statuto - Regolamento sul procedimento amministrativo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267/2000 - Regolamento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contabilita'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Unita'</w:t>
            </w:r>
            <w:proofErr w:type="spellEnd"/>
            <w:r w:rsidRPr="007137E0">
              <w:rPr>
                <w:rFonts w:ascii="Arial" w:hAnsi="Arial"/>
              </w:rPr>
              <w:t xml:space="preserve">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A4BDA" w:rsidRDefault="00F66FCF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direzionegenerale@comune.parona.pv.it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086E3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A4BDA" w:rsidRDefault="00F66FCF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86E3D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A4BDA" w:rsidRDefault="00F66FC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5A4BDA" w:rsidRDefault="00F66FCF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</w:t>
            </w: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contattabile tramite Email istituzionale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gestito nell'osservanza dei livelli essenziali delle prestazioni di cui all'art. 117, secondo comma, lett. m), della Costituzione. 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86E3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86E3D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4BDA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6FCF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87080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2026-06-06T19:39:00Z</dcterms:modified>
</cp:coreProperties>
</file>